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6B901B"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附件1：改造清单及其他要求</w:t>
      </w:r>
    </w:p>
    <w:p w14:paraId="703BBA79">
      <w:pPr>
        <w:pStyle w:val="2"/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一、项目改造清单：</w:t>
      </w:r>
    </w:p>
    <w:tbl>
      <w:tblPr>
        <w:tblStyle w:val="4"/>
        <w:tblpPr w:leftFromText="180" w:rightFromText="180" w:vertAnchor="text" w:horzAnchor="page" w:tblpX="770" w:tblpY="537"/>
        <w:tblOverlap w:val="never"/>
        <w:tblW w:w="1044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765"/>
        <w:gridCol w:w="860"/>
        <w:gridCol w:w="816"/>
        <w:gridCol w:w="6284"/>
      </w:tblGrid>
      <w:tr w14:paraId="7369A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600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EF8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工程名称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6D0F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6AA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C54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  <w:bookmarkStart w:id="0" w:name="_GoBack"/>
            <w:bookmarkEnd w:id="0"/>
          </w:p>
        </w:tc>
      </w:tr>
      <w:tr w14:paraId="3B6043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044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3555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一、拆改项</w:t>
            </w:r>
          </w:p>
        </w:tc>
      </w:tr>
      <w:tr w14:paraId="4B41A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0B4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FF5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吊顶拆除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148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2CCC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Style w:val="7"/>
                <w:lang w:val="en-US" w:eastAsia="zh-CN" w:bidi="ar"/>
              </w:rPr>
              <w:t>2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820F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人工工资及机具费</w:t>
            </w:r>
          </w:p>
        </w:tc>
      </w:tr>
      <w:tr w14:paraId="6F8D9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C84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2AA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踢脚线拆除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487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0775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3F5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人工工资及机具费</w:t>
            </w:r>
          </w:p>
        </w:tc>
      </w:tr>
      <w:tr w14:paraId="20D25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044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EEB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二、装修项</w:t>
            </w:r>
          </w:p>
        </w:tc>
      </w:tr>
      <w:tr w14:paraId="5A53DD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D4E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58B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石膏板吊顶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E51A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74866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Style w:val="7"/>
                <w:lang w:val="en-US" w:eastAsia="zh-CN" w:bidi="ar"/>
              </w:rPr>
              <w:t>2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007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国标轻钢龙骨及配件，石膏板，人工工资及机具费。</w:t>
            </w:r>
          </w:p>
        </w:tc>
      </w:tr>
      <w:tr w14:paraId="749F3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ACE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08B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墙面造型木基层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2A4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25.8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852D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Style w:val="7"/>
                <w:lang w:val="en-US" w:eastAsia="zh-CN" w:bidi="ar"/>
              </w:rPr>
              <w:t>2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722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12mm厚阻燃版，泡沫胶、结构胶及辅料，人工工资及机具费。</w:t>
            </w:r>
          </w:p>
        </w:tc>
      </w:tr>
      <w:tr w14:paraId="05B75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279B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C9D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墙面墙板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A89E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0BA55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Style w:val="7"/>
                <w:lang w:val="en-US" w:eastAsia="zh-CN" w:bidi="ar"/>
              </w:rPr>
              <w:t>2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D17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8mm厚竹木纤维ABS树脂高分子防撞板，泡沫胶，结构胶及配件，人工工资及机具费。</w:t>
            </w:r>
          </w:p>
        </w:tc>
      </w:tr>
      <w:tr w14:paraId="3F79A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BB64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E67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570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6D093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2FA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高55mm木质踢脚线，人工工资及机具费。</w:t>
            </w:r>
          </w:p>
        </w:tc>
      </w:tr>
      <w:tr w14:paraId="39E3C8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D16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3A69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顶面乳胶漆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398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4B9F1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Style w:val="7"/>
                <w:lang w:val="en-US" w:eastAsia="zh-CN" w:bidi="ar"/>
              </w:rPr>
              <w:t>2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A75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外墙腻子粉一遍，内墙腻子粉一遍，水漆乳胶漆两遍，人工工资及机具费。</w:t>
            </w:r>
          </w:p>
        </w:tc>
      </w:tr>
      <w:tr w14:paraId="79626F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7E47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7088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茶水柜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D25B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6D79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F3E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生态板，柜体800mm*800mm*400mm，台面人造大理石，人工工资及机具费。</w:t>
            </w:r>
          </w:p>
        </w:tc>
      </w:tr>
      <w:tr w14:paraId="3BD132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D91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55E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铺大理石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8C87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AC5D6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Style w:val="7"/>
                <w:lang w:val="en-US" w:eastAsia="zh-CN" w:bidi="ar"/>
              </w:rPr>
              <w:t>2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23E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600mm*900mm以内大理石，厚度18mm，含波导线造型，瓷砖胶铺贴，人工工资及机具费。</w:t>
            </w:r>
          </w:p>
        </w:tc>
      </w:tr>
      <w:tr w14:paraId="32854B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A28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3624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天然大理石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633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F4C949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Style w:val="7"/>
                <w:lang w:val="en-US" w:eastAsia="zh-CN" w:bidi="ar"/>
              </w:rPr>
              <w:t>2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4CD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大理石材料及加工</w:t>
            </w:r>
          </w:p>
        </w:tc>
      </w:tr>
      <w:tr w14:paraId="7E7CA0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4745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A539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大理石结晶处理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576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0C846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Style w:val="7"/>
                <w:lang w:val="en-US" w:eastAsia="zh-CN" w:bidi="ar"/>
              </w:rPr>
              <w:t>2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7F0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材料及人工</w:t>
            </w:r>
          </w:p>
        </w:tc>
      </w:tr>
      <w:tr w14:paraId="15832D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BEF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6F47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电路改造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E4C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45.2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DF486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Style w:val="7"/>
                <w:lang w:val="en-US" w:eastAsia="zh-CN" w:bidi="ar"/>
              </w:rPr>
              <w:t>2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E5A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多股线，照明1.5平方线、普通插座2.5平方线、空调插座4平方线，PVC线管及配件，墙面开槽敷设，人工工资及机具费。</w:t>
            </w:r>
          </w:p>
        </w:tc>
      </w:tr>
      <w:tr w14:paraId="09358A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32B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97ED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灯具及开关插座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5191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FBFD4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C55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照明灯具，空开，按图布置(国内知名品牌）</w:t>
            </w:r>
          </w:p>
        </w:tc>
      </w:tr>
      <w:tr w14:paraId="5649D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044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BD84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三、其他费用</w:t>
            </w:r>
          </w:p>
        </w:tc>
      </w:tr>
      <w:tr w14:paraId="5C238A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09E73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13A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设计费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B7E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D3F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4DD6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暂列金（价格固定）</w:t>
            </w:r>
          </w:p>
        </w:tc>
      </w:tr>
      <w:tr w14:paraId="6DCF3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B41EB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0970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税费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CB9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30F6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6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D7E3A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</w:tbl>
    <w:p w14:paraId="5C1D822C">
      <w:pPr>
        <w:numPr>
          <w:ilvl w:val="0"/>
          <w:numId w:val="0"/>
        </w:numPr>
        <w:jc w:val="both"/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</w:p>
    <w:p w14:paraId="7135FD2D">
      <w:pPr>
        <w:numPr>
          <w:ilvl w:val="0"/>
          <w:numId w:val="1"/>
        </w:numPr>
        <w:jc w:val="left"/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商务要求：</w:t>
      </w:r>
    </w:p>
    <w:p w14:paraId="2D7FBACC">
      <w:pPr>
        <w:pStyle w:val="2"/>
        <w:widowControl/>
        <w:numPr>
          <w:numId w:val="0"/>
        </w:numPr>
        <w:spacing w:line="312" w:lineRule="atLeast"/>
        <w:jc w:val="both"/>
        <w:textAlignment w:val="baseline"/>
        <w:rPr>
          <w:rFonts w:hint="eastAsia"/>
          <w:lang w:val="en-US" w:eastAsia="zh-CN"/>
        </w:rPr>
      </w:pPr>
    </w:p>
    <w:p w14:paraId="6BCE5E9B">
      <w:pPr>
        <w:pStyle w:val="2"/>
        <w:widowControl/>
        <w:numPr>
          <w:numId w:val="0"/>
        </w:numPr>
        <w:spacing w:line="312" w:lineRule="atLeast"/>
        <w:jc w:val="both"/>
        <w:textAlignment w:val="baseline"/>
        <w:rPr>
          <w:rFonts w:hint="eastAsia"/>
          <w:lang w:val="en-US" w:eastAsia="zh-CN"/>
        </w:rPr>
      </w:pPr>
    </w:p>
    <w:p w14:paraId="1AFD6DB6">
      <w:pPr>
        <w:pStyle w:val="2"/>
        <w:widowControl/>
        <w:numPr>
          <w:numId w:val="0"/>
        </w:numPr>
        <w:spacing w:line="312" w:lineRule="atLeast"/>
        <w:jc w:val="both"/>
        <w:textAlignment w:val="baseline"/>
        <w:rPr>
          <w:rFonts w:hint="eastAsia"/>
          <w:lang w:val="en-US" w:eastAsia="zh-CN"/>
        </w:rPr>
      </w:pPr>
    </w:p>
    <w:p w14:paraId="7845AE1F">
      <w:pPr>
        <w:pStyle w:val="2"/>
        <w:widowControl/>
        <w:numPr>
          <w:numId w:val="0"/>
        </w:numPr>
        <w:spacing w:line="312" w:lineRule="atLeast"/>
        <w:jc w:val="both"/>
        <w:textAlignment w:val="baseline"/>
        <w:rPr>
          <w:rFonts w:hint="eastAsia"/>
          <w:lang w:val="en-US" w:eastAsia="zh-CN"/>
        </w:rPr>
      </w:pPr>
    </w:p>
    <w:p w14:paraId="382822E3">
      <w:pPr>
        <w:pStyle w:val="2"/>
        <w:widowControl/>
        <w:numPr>
          <w:numId w:val="0"/>
        </w:numPr>
        <w:spacing w:line="312" w:lineRule="atLeast"/>
        <w:jc w:val="both"/>
        <w:textAlignment w:val="baseline"/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Spec="center" w:tblpY="2454"/>
        <w:tblOverlap w:val="never"/>
        <w:tblW w:w="97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1633"/>
        <w:gridCol w:w="7182"/>
      </w:tblGrid>
      <w:tr w14:paraId="0E24F2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noWrap w:val="0"/>
            <w:vAlign w:val="center"/>
          </w:tcPr>
          <w:p w14:paraId="7D5FCE81">
            <w:pPr>
              <w:spacing w:line="44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序号</w:t>
            </w:r>
          </w:p>
        </w:tc>
        <w:tc>
          <w:tcPr>
            <w:tcW w:w="1633" w:type="dxa"/>
            <w:noWrap w:val="0"/>
            <w:vAlign w:val="center"/>
          </w:tcPr>
          <w:p w14:paraId="66D438CC">
            <w:pPr>
              <w:spacing w:line="44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需求名称</w:t>
            </w:r>
          </w:p>
        </w:tc>
        <w:tc>
          <w:tcPr>
            <w:tcW w:w="7182" w:type="dxa"/>
            <w:noWrap w:val="0"/>
            <w:vAlign w:val="center"/>
          </w:tcPr>
          <w:p w14:paraId="5D7F5DB6">
            <w:pPr>
              <w:spacing w:line="44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需求说明</w:t>
            </w:r>
          </w:p>
        </w:tc>
      </w:tr>
      <w:tr w14:paraId="09E46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noWrap w:val="0"/>
            <w:vAlign w:val="center"/>
          </w:tcPr>
          <w:p w14:paraId="186D2E1B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1</w:t>
            </w:r>
          </w:p>
        </w:tc>
        <w:tc>
          <w:tcPr>
            <w:tcW w:w="1633" w:type="dxa"/>
            <w:noWrap w:val="0"/>
            <w:vAlign w:val="center"/>
          </w:tcPr>
          <w:p w14:paraId="68F35E9E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工程地点</w:t>
            </w:r>
          </w:p>
        </w:tc>
        <w:tc>
          <w:tcPr>
            <w:tcW w:w="7182" w:type="dxa"/>
            <w:noWrap w:val="0"/>
            <w:vAlign w:val="center"/>
          </w:tcPr>
          <w:p w14:paraId="50E9E2FE">
            <w:pPr>
              <w:spacing w:line="380" w:lineRule="exac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江西财经大学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现代经济管理学院共青校区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。</w:t>
            </w:r>
          </w:p>
        </w:tc>
      </w:tr>
      <w:tr w14:paraId="56347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noWrap w:val="0"/>
            <w:vAlign w:val="center"/>
          </w:tcPr>
          <w:p w14:paraId="7A001C14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2</w:t>
            </w:r>
          </w:p>
        </w:tc>
        <w:tc>
          <w:tcPr>
            <w:tcW w:w="1633" w:type="dxa"/>
            <w:noWrap w:val="0"/>
            <w:vAlign w:val="center"/>
          </w:tcPr>
          <w:p w14:paraId="48AB1AE6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工    期</w:t>
            </w:r>
          </w:p>
        </w:tc>
        <w:tc>
          <w:tcPr>
            <w:tcW w:w="7182" w:type="dxa"/>
            <w:noWrap w:val="0"/>
            <w:vAlign w:val="center"/>
          </w:tcPr>
          <w:p w14:paraId="227A6F09">
            <w:pPr>
              <w:spacing w:line="380" w:lineRule="exac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合同签订后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天内交付使用。</w:t>
            </w:r>
          </w:p>
        </w:tc>
      </w:tr>
      <w:tr w14:paraId="6D5D7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noWrap w:val="0"/>
            <w:vAlign w:val="center"/>
          </w:tcPr>
          <w:p w14:paraId="3C7DC475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633" w:type="dxa"/>
            <w:noWrap w:val="0"/>
            <w:vAlign w:val="center"/>
          </w:tcPr>
          <w:p w14:paraId="212D8374">
            <w:pPr>
              <w:spacing w:line="380" w:lineRule="exact"/>
              <w:jc w:val="center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质量标准</w:t>
            </w:r>
          </w:p>
        </w:tc>
        <w:tc>
          <w:tcPr>
            <w:tcW w:w="7182" w:type="dxa"/>
            <w:noWrap w:val="0"/>
            <w:vAlign w:val="center"/>
          </w:tcPr>
          <w:p w14:paraId="67FDDC82">
            <w:pPr>
              <w:spacing w:line="380" w:lineRule="exact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合格标准及以上</w:t>
            </w:r>
          </w:p>
        </w:tc>
      </w:tr>
      <w:tr w14:paraId="100F2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noWrap w:val="0"/>
            <w:vAlign w:val="center"/>
          </w:tcPr>
          <w:p w14:paraId="204D8AAB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633" w:type="dxa"/>
            <w:noWrap w:val="0"/>
            <w:vAlign w:val="center"/>
          </w:tcPr>
          <w:p w14:paraId="1AE3BFB2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履约保证金</w:t>
            </w:r>
          </w:p>
        </w:tc>
        <w:tc>
          <w:tcPr>
            <w:tcW w:w="7182" w:type="dxa"/>
            <w:noWrap w:val="0"/>
            <w:vAlign w:val="center"/>
          </w:tcPr>
          <w:p w14:paraId="67B21C45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1.履约保证金金额：签订合同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前三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个工作日内，成交供应商向采购人指定账户缴纳合同金额10%履约保证金；</w:t>
            </w:r>
          </w:p>
          <w:p w14:paraId="054EF508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2.履约保证金的退还：项目竣工验收后退回70%，余下30%作为质量保证金，待质保期满后无质量问题无息退还。</w:t>
            </w:r>
          </w:p>
        </w:tc>
      </w:tr>
      <w:tr w14:paraId="011F8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noWrap w:val="0"/>
            <w:vAlign w:val="center"/>
          </w:tcPr>
          <w:p w14:paraId="5B88E600">
            <w:pPr>
              <w:spacing w:line="380" w:lineRule="exact"/>
              <w:ind w:left="-29" w:leftChars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633" w:type="dxa"/>
            <w:noWrap w:val="0"/>
            <w:vAlign w:val="center"/>
          </w:tcPr>
          <w:p w14:paraId="75B00ED4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付款方式</w:t>
            </w:r>
          </w:p>
        </w:tc>
        <w:tc>
          <w:tcPr>
            <w:tcW w:w="7182" w:type="dxa"/>
            <w:noWrap w:val="0"/>
            <w:vAlign w:val="center"/>
          </w:tcPr>
          <w:p w14:paraId="22FDDA4C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采购人不支付工程进度款，待项目竣工终验合格并办理决算后，支付100%工程款。</w:t>
            </w:r>
          </w:p>
        </w:tc>
      </w:tr>
      <w:tr w14:paraId="5B331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noWrap w:val="0"/>
            <w:vAlign w:val="center"/>
          </w:tcPr>
          <w:p w14:paraId="7DAC1EC5">
            <w:pPr>
              <w:spacing w:line="380" w:lineRule="exact"/>
              <w:ind w:left="-29" w:leftChars="0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633" w:type="dxa"/>
            <w:noWrap w:val="0"/>
            <w:vAlign w:val="center"/>
          </w:tcPr>
          <w:p w14:paraId="3AB4D15C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报价方式</w:t>
            </w:r>
          </w:p>
        </w:tc>
        <w:tc>
          <w:tcPr>
            <w:tcW w:w="7182" w:type="dxa"/>
            <w:noWrap w:val="0"/>
            <w:vAlign w:val="center"/>
          </w:tcPr>
          <w:p w14:paraId="27437985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1.本项目为交钥匙工程。响应报价须为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报价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文件所约定的招标范围内全部内容的价格体现。报价应包括但不限于包含材料、运输、装卸、安装、施工机械、调试、缺陷修补、人工、保险、税金、售后服务等所有费用。</w:t>
            </w:r>
          </w:p>
          <w:p w14:paraId="1D839EFA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2.供应商需按工程量清单进行分项报价。报价一律用人民币填报，报价在投标后不得作任何调整。未按规定报价或响应报价超过采购项目预算或超过最高限价的，视为无效响应。</w:t>
            </w:r>
          </w:p>
        </w:tc>
      </w:tr>
      <w:tr w14:paraId="404C2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4" w:type="dxa"/>
            <w:noWrap w:val="0"/>
            <w:vAlign w:val="center"/>
          </w:tcPr>
          <w:p w14:paraId="625A634C">
            <w:pPr>
              <w:spacing w:line="380" w:lineRule="exact"/>
              <w:ind w:left="-29" w:leftChars="0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633" w:type="dxa"/>
            <w:noWrap w:val="0"/>
            <w:vAlign w:val="center"/>
          </w:tcPr>
          <w:p w14:paraId="14180CDA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施工要求</w:t>
            </w:r>
          </w:p>
        </w:tc>
        <w:tc>
          <w:tcPr>
            <w:tcW w:w="7182" w:type="dxa"/>
            <w:noWrap w:val="0"/>
            <w:vAlign w:val="center"/>
          </w:tcPr>
          <w:p w14:paraId="36A4CA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1.采购人不组织考察。为考虑不可预知情况，供应商在开标前须进行实地考察施工场地情况、改造方法、具体材料数量、规格、要求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zh-CN"/>
              </w:rPr>
              <w:t>等等。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highlight w:val="none"/>
                <w:lang w:val="en-US" w:eastAsia="zh-CN"/>
              </w:rPr>
              <w:t>项目考察联系人：邱老师，电话：18779256780；</w:t>
            </w:r>
          </w:p>
          <w:p w14:paraId="08920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2.成交供应商在施工过程中，须照管相关的施工材料、设备并做好现场成品保护工作，如果发现没有做好成品保护，每次处罚1000元/次，在项目款中扣除；</w:t>
            </w:r>
          </w:p>
          <w:p w14:paraId="710B6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3.严格按照国家建筑施工规范和施工合同的要求，加强对施工现场的科学管理，真正做到安全生产、文明施工，把影响和干扰教学的因素降低到最低程度。</w:t>
            </w:r>
          </w:p>
          <w:p w14:paraId="3E41D9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4.实行全封闭作业，工地进出口必须设置明显的安全警示标志，工地的进出口必须实行每天24小时门卫值班制。</w:t>
            </w:r>
          </w:p>
          <w:p w14:paraId="10ED2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5.工地运输材料的车辆在校区内应限速通行，尽量避开学生上下课和用餐人流高峰，施工车辆应进行除尘清洗，确保校区环境卫生。</w:t>
            </w:r>
          </w:p>
        </w:tc>
      </w:tr>
      <w:tr w14:paraId="66A5A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44" w:type="dxa"/>
            <w:noWrap w:val="0"/>
            <w:vAlign w:val="center"/>
          </w:tcPr>
          <w:p w14:paraId="2DCADBDC">
            <w:pPr>
              <w:spacing w:line="380" w:lineRule="exact"/>
              <w:ind w:left="-29" w:leftChars="0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633" w:type="dxa"/>
            <w:noWrap w:val="0"/>
            <w:vAlign w:val="center"/>
          </w:tcPr>
          <w:p w14:paraId="75D1E09D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项目验收</w:t>
            </w:r>
          </w:p>
        </w:tc>
        <w:tc>
          <w:tcPr>
            <w:tcW w:w="7182" w:type="dxa"/>
            <w:noWrap w:val="0"/>
            <w:vAlign w:val="center"/>
          </w:tcPr>
          <w:p w14:paraId="4FCFF2DA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1.工程竣工后，成交供应商向采购人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提交验收报告审批单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，采购人在收到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验收报告审批单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后的七个工作日内，组织相关专业人员对工程进行验收。验收合格，双方在验收报告上签字。</w:t>
            </w:r>
          </w:p>
          <w:p w14:paraId="7CFA688B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2.成交供应商须为项目验收提供必需的设备、工具及其他便利条件。验收结果须整改的，成交供应商须在采购人规定的时间内进行整改，直至整个工程通过验收。</w:t>
            </w:r>
          </w:p>
          <w:p w14:paraId="056041E9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/>
              </w:rPr>
              <w:t>3.交付验收标准：必须符合国家有关技术规范和质量标准、环保标准或行业标准，验收不合格、存在质量问题，成交供应商必须返工，产生的一切经济损失由成交供应商承担。</w:t>
            </w:r>
          </w:p>
        </w:tc>
      </w:tr>
      <w:tr w14:paraId="49C36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44" w:type="dxa"/>
            <w:noWrap w:val="0"/>
            <w:vAlign w:val="center"/>
          </w:tcPr>
          <w:p w14:paraId="3CD6541C">
            <w:pPr>
              <w:spacing w:line="380" w:lineRule="exact"/>
              <w:ind w:left="-29" w:leftChars="0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633" w:type="dxa"/>
            <w:noWrap w:val="0"/>
            <w:vAlign w:val="center"/>
          </w:tcPr>
          <w:p w14:paraId="3D521E8A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质保期</w:t>
            </w:r>
          </w:p>
          <w:p w14:paraId="66E03B88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及维护服务</w:t>
            </w:r>
          </w:p>
        </w:tc>
        <w:tc>
          <w:tcPr>
            <w:tcW w:w="7182" w:type="dxa"/>
            <w:noWrap w:val="0"/>
            <w:vAlign w:val="center"/>
          </w:tcPr>
          <w:p w14:paraId="27A181CC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  <w:t>1.本工程质量保证期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  <w:t>年，质保期从验收合格之日起计算。</w:t>
            </w:r>
          </w:p>
          <w:p w14:paraId="7CC04979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  <w:t>.质保期内提供7*24小时即时响应服务，所有服务方式均为上门服务（特殊要求除外），即由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中标单位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  <w:t>派技术人员到使用现场维修维护。故障响应时间，一般故障2小时内修复，大故障8小时内修复，重大故障24小时内修复。由此产生的一切费用均由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中标单位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  <w:t>承担。</w:t>
            </w:r>
          </w:p>
        </w:tc>
      </w:tr>
      <w:tr w14:paraId="1B391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44" w:type="dxa"/>
            <w:noWrap w:val="0"/>
            <w:vAlign w:val="center"/>
          </w:tcPr>
          <w:p w14:paraId="3DB5A7DD">
            <w:pPr>
              <w:spacing w:line="380" w:lineRule="exact"/>
              <w:ind w:left="-29" w:leftChars="0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633" w:type="dxa"/>
            <w:noWrap w:val="0"/>
            <w:vAlign w:val="center"/>
          </w:tcPr>
          <w:p w14:paraId="5D1B766E">
            <w:pPr>
              <w:spacing w:line="380" w:lineRule="exact"/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业绩</w:t>
            </w:r>
          </w:p>
        </w:tc>
        <w:tc>
          <w:tcPr>
            <w:tcW w:w="7182" w:type="dxa"/>
            <w:noWrap w:val="0"/>
            <w:vAlign w:val="center"/>
          </w:tcPr>
          <w:p w14:paraId="05393CF0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  <w:t>供应商自20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  <w:t>年1月1日以来(以合同签订时间为准），须具有不少于2个建筑工程施工相关业绩。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zh-CN" w:eastAsia="zh-CN"/>
              </w:rPr>
              <w:t>施工合同原件现场核查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zh-CN" w:eastAsia="zh-CN"/>
              </w:rPr>
              <w:t>。</w:t>
            </w:r>
          </w:p>
          <w:p w14:paraId="7A0B6AD1">
            <w:pPr>
              <w:spacing w:line="38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zh-CN" w:eastAsia="zh-CN"/>
              </w:rPr>
            </w:pPr>
          </w:p>
        </w:tc>
      </w:tr>
    </w:tbl>
    <w:p w14:paraId="14401BFE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 w14:paraId="7284FB12">
      <w:pPr>
        <w:pStyle w:val="2"/>
        <w:widowControl/>
        <w:numPr>
          <w:ilvl w:val="0"/>
          <w:numId w:val="0"/>
        </w:numPr>
        <w:spacing w:line="312" w:lineRule="atLeast"/>
        <w:jc w:val="both"/>
        <w:textAlignment w:val="baseline"/>
        <w:rPr>
          <w:rFonts w:hint="eastAsia"/>
          <w:lang w:val="en-US" w:eastAsia="zh-CN"/>
        </w:rPr>
      </w:pPr>
    </w:p>
    <w:p w14:paraId="356B1D7D"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三、结算原则</w:t>
      </w:r>
    </w:p>
    <w:p w14:paraId="0F52A4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/>
          <w:sz w:val="32"/>
          <w:szCs w:val="32"/>
          <w:lang w:val="zh-CN" w:eastAsia="zh-CN"/>
        </w:rPr>
      </w:pPr>
      <w:r>
        <w:rPr>
          <w:rFonts w:hint="eastAsia"/>
          <w:sz w:val="32"/>
          <w:szCs w:val="32"/>
          <w:lang w:val="zh-CN" w:eastAsia="zh-CN"/>
        </w:rPr>
        <w:t>实行综合单价包干，在合同执行期间内，综合单价不作任何调整，以实际完成工程量进行结算。</w:t>
      </w:r>
    </w:p>
    <w:p w14:paraId="731BF34D"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四、施工图</w:t>
      </w:r>
    </w:p>
    <w:p w14:paraId="3373E5FC">
      <w:pPr>
        <w:pStyle w:val="2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object>
          <v:shape id="_x0000_i1025" o:spt="75" type="#_x0000_t75" style="height:38.1pt;width:115.8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84CFDE"/>
    <w:multiLevelType w:val="singleLevel"/>
    <w:tmpl w:val="5384CFD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1331E2"/>
    <w:rsid w:val="031713E0"/>
    <w:rsid w:val="03CA0201"/>
    <w:rsid w:val="09E959B1"/>
    <w:rsid w:val="0DD904BC"/>
    <w:rsid w:val="106D1FAD"/>
    <w:rsid w:val="11530B6B"/>
    <w:rsid w:val="13C22CA3"/>
    <w:rsid w:val="1D8E3B21"/>
    <w:rsid w:val="1E83099B"/>
    <w:rsid w:val="213571AA"/>
    <w:rsid w:val="2229539C"/>
    <w:rsid w:val="23E00CE9"/>
    <w:rsid w:val="243B67FF"/>
    <w:rsid w:val="24DB5FD1"/>
    <w:rsid w:val="24E8008F"/>
    <w:rsid w:val="27BF1288"/>
    <w:rsid w:val="28694D40"/>
    <w:rsid w:val="2874680A"/>
    <w:rsid w:val="2B32641C"/>
    <w:rsid w:val="2C477D91"/>
    <w:rsid w:val="2FF21D47"/>
    <w:rsid w:val="30206575"/>
    <w:rsid w:val="30420F9B"/>
    <w:rsid w:val="30F355A2"/>
    <w:rsid w:val="36CE6419"/>
    <w:rsid w:val="36DE12F2"/>
    <w:rsid w:val="38833B1A"/>
    <w:rsid w:val="3BF25FC0"/>
    <w:rsid w:val="3F5860E5"/>
    <w:rsid w:val="44913E48"/>
    <w:rsid w:val="4C8449BE"/>
    <w:rsid w:val="5221129C"/>
    <w:rsid w:val="58811CA0"/>
    <w:rsid w:val="59CC3500"/>
    <w:rsid w:val="5C0E0752"/>
    <w:rsid w:val="5EBC2342"/>
    <w:rsid w:val="61DE45D7"/>
    <w:rsid w:val="63AE3C76"/>
    <w:rsid w:val="64677673"/>
    <w:rsid w:val="68ED4840"/>
    <w:rsid w:val="6D1331E2"/>
    <w:rsid w:val="719C5A56"/>
    <w:rsid w:val="753164B5"/>
    <w:rsid w:val="75E62729"/>
    <w:rsid w:val="7A53633D"/>
    <w:rsid w:val="7D942B65"/>
    <w:rsid w:val="7FEA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Indent"/>
    <w:basedOn w:val="1"/>
    <w:qFormat/>
    <w:uiPriority w:val="0"/>
    <w:pPr>
      <w:widowControl/>
      <w:spacing w:line="312" w:lineRule="atLeast"/>
      <w:ind w:firstLine="420" w:firstLineChars="0"/>
      <w:jc w:val="both"/>
      <w:textAlignment w:val="baseline"/>
    </w:pPr>
    <w:rPr>
      <w:rFonts w:ascii="Calibri" w:hAnsi="Calibri" w:eastAsia="宋体" w:cs="Times New Roman"/>
      <w:kern w:val="0"/>
      <w:sz w:val="21"/>
      <w:szCs w:val="24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8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1676</Words>
  <Characters>1803</Characters>
  <Lines>0</Lines>
  <Paragraphs>0</Paragraphs>
  <TotalTime>0</TotalTime>
  <ScaleCrop>false</ScaleCrop>
  <LinksUpToDate>false</LinksUpToDate>
  <CharactersWithSpaces>1807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2026-01-31T07:01:00Z</dcterms:created>
  <dc:creator>渁杺朩緣</dc:creator>
  <cp:lastModifiedBy>五月的</cp:lastModifiedBy>
  <dcterms:modified xsi:type="dcterms:W3CDTF">2026-02-02T07:06:32Z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EF0DCAE83A314DDDA1109C0100D4F24E_11</vt:lpwstr>
  </property>
  <property fmtid="{D5CDD505-2E9C-101B-9397-08002B2CF9AE}" pid="4" name="KSOTemplateDocerSaveRecord">
    <vt:lpwstr>eyJoZGlkIjoiZmQ0YmFiNTkxOWQ5NTFlYTcyN2VhMGNmZTJmZDE0YzciLCJ1c2VySWQiOiI2Njk3NTExMjMifQ==</vt:lpwstr>
  </property>
</Properties>
</file>