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afterLines="0" w:line="640" w:lineRule="exact"/>
        <w:textAlignment w:val="auto"/>
        <w:rPr>
          <w:rFonts w:hint="eastAsia" w:eastAsia="仿宋"/>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640" w:lineRule="exact"/>
        <w:textAlignment w:val="auto"/>
        <w:rPr>
          <w:rFonts w:hint="default" w:eastAsia="仿宋"/>
          <w:lang w:val="en-US" w:eastAsia="zh-CN"/>
        </w:rPr>
      </w:pPr>
      <w:r>
        <w:rPr>
          <w:rFonts w:hint="eastAsia"/>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1400" w:lineRule="exact"/>
        <w:jc w:val="both"/>
        <w:textAlignment w:val="auto"/>
        <w:rPr>
          <w:rFonts w:hint="eastAsia" w:ascii="华文中宋" w:hAnsi="华文中宋" w:eastAsia="华文中宋" w:cs="华文中宋"/>
          <w:b/>
          <w:bCs/>
          <w:color w:val="FF0000"/>
          <w:spacing w:val="20"/>
          <w:w w:val="50"/>
          <w:sz w:val="110"/>
          <w:szCs w:val="110"/>
          <w:lang w:val="en-US" w:eastAsia="zh-CN"/>
        </w:rPr>
      </w:pPr>
      <w:r>
        <w:rPr>
          <w:rFonts w:hint="eastAsia" w:ascii="华文中宋" w:hAnsi="华文中宋" w:eastAsia="华文中宋" w:cs="华文中宋"/>
          <w:b/>
          <w:bCs/>
          <w:color w:val="FF0000"/>
          <w:spacing w:val="20"/>
          <w:w w:val="50"/>
          <w:sz w:val="110"/>
          <w:szCs w:val="110"/>
          <w:lang w:val="en-US" w:eastAsia="zh-CN"/>
        </w:rPr>
        <w:t>江西财经大学现代经济管理学院</w:t>
      </w:r>
    </w:p>
    <w:p>
      <w:pPr>
        <w:pStyle w:val="2"/>
        <w:keepNext w:val="0"/>
        <w:keepLines w:val="0"/>
        <w:pageBreakBefore w:val="0"/>
        <w:widowControl w:val="0"/>
        <w:kinsoku/>
        <w:wordWrap/>
        <w:overflowPunct/>
        <w:topLinePunct w:val="0"/>
        <w:autoSpaceDE/>
        <w:autoSpaceDN/>
        <w:bidi w:val="0"/>
        <w:adjustRightInd/>
        <w:snapToGrid/>
        <w:spacing w:after="0" w:line="1400" w:lineRule="exact"/>
        <w:jc w:val="center"/>
        <w:textAlignment w:val="auto"/>
        <w:rPr>
          <w:rFonts w:hint="eastAsia" w:ascii="华文中宋" w:hAnsi="华文中宋" w:eastAsia="华文中宋" w:cs="华文中宋"/>
          <w:b/>
          <w:bCs/>
          <w:color w:val="FF0000"/>
          <w:spacing w:val="20"/>
          <w:w w:val="50"/>
          <w:sz w:val="110"/>
          <w:szCs w:val="110"/>
          <w:lang w:val="en-US" w:eastAsia="zh-CN"/>
        </w:rPr>
      </w:pPr>
      <w:r>
        <w:rPr>
          <w:rFonts w:hint="eastAsia" w:ascii="华文中宋" w:hAnsi="华文中宋" w:eastAsia="华文中宋" w:cs="华文中宋"/>
          <w:b/>
          <w:bCs/>
          <w:color w:val="FF0000"/>
          <w:spacing w:val="20"/>
          <w:w w:val="50"/>
          <w:sz w:val="110"/>
          <w:szCs w:val="110"/>
          <w:lang w:val="en-US" w:eastAsia="zh-CN"/>
        </w:rPr>
        <w:t>继续教育中心</w:t>
      </w: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仿宋_GB2312" w:hAnsi="仿宋_GB2312" w:eastAsia="仿宋_GB2312" w:cs="仿宋_GB2312"/>
          <w:b/>
          <w:bCs/>
          <w:color w:val="FF0000"/>
          <w:spacing w:val="20"/>
          <w:w w:val="5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i w:val="0"/>
          <w:iCs w:val="0"/>
          <w:caps w:val="0"/>
          <w:color w:val="auto"/>
          <w:spacing w:val="0"/>
          <w:w w:val="100"/>
          <w:sz w:val="32"/>
          <w:szCs w:val="32"/>
          <w:shd w:val="clear" w:fill="FFFFFF"/>
        </w:rPr>
      </w:pPr>
      <w:r>
        <w:rPr>
          <w:rFonts w:hint="eastAsia" w:ascii="仿宋_GB2312" w:hAnsi="仿宋_GB2312" w:eastAsia="仿宋_GB2312" w:cs="仿宋_GB2312"/>
          <w:b/>
          <w:bCs/>
          <w:color w:val="auto"/>
          <w:spacing w:val="0"/>
          <w:w w:val="100"/>
          <w:sz w:val="32"/>
          <w:szCs w:val="32"/>
          <w:lang w:val="en-US" w:eastAsia="zh-CN"/>
        </w:rPr>
        <w:t>江财现经管继教字</w:t>
      </w:r>
      <w:r>
        <w:rPr>
          <w:rFonts w:hint="eastAsia" w:ascii="仿宋_GB2312" w:hAnsi="仿宋_GB2312" w:eastAsia="仿宋_GB2312" w:cs="仿宋_GB2312"/>
          <w:i w:val="0"/>
          <w:iCs w:val="0"/>
          <w:caps w:val="0"/>
          <w:color w:val="auto"/>
          <w:spacing w:val="0"/>
          <w:w w:val="100"/>
          <w:sz w:val="32"/>
          <w:szCs w:val="32"/>
          <w:shd w:val="clear" w:fill="FFFFFF"/>
        </w:rPr>
        <w:t>〔20</w:t>
      </w:r>
      <w:r>
        <w:rPr>
          <w:rFonts w:hint="eastAsia" w:ascii="仿宋_GB2312" w:hAnsi="仿宋_GB2312" w:eastAsia="仿宋_GB2312" w:cs="仿宋_GB2312"/>
          <w:i w:val="0"/>
          <w:iCs w:val="0"/>
          <w:caps w:val="0"/>
          <w:color w:val="auto"/>
          <w:spacing w:val="0"/>
          <w:w w:val="100"/>
          <w:sz w:val="32"/>
          <w:szCs w:val="32"/>
          <w:shd w:val="clear" w:fill="FFFFFF"/>
          <w:lang w:val="en-US" w:eastAsia="zh-CN"/>
        </w:rPr>
        <w:t>21</w:t>
      </w:r>
      <w:r>
        <w:rPr>
          <w:rFonts w:hint="eastAsia" w:ascii="仿宋_GB2312" w:hAnsi="仿宋_GB2312" w:eastAsia="仿宋_GB2312" w:cs="仿宋_GB2312"/>
          <w:i w:val="0"/>
          <w:iCs w:val="0"/>
          <w:caps w:val="0"/>
          <w:color w:val="auto"/>
          <w:spacing w:val="0"/>
          <w:w w:val="100"/>
          <w:sz w:val="32"/>
          <w:szCs w:val="32"/>
          <w:shd w:val="clear" w:fill="FFFFFF"/>
        </w:rPr>
        <w:t>〕</w:t>
      </w:r>
      <w:r>
        <w:rPr>
          <w:rFonts w:hint="eastAsia" w:ascii="仿宋_GB2312" w:hAnsi="仿宋_GB2312" w:eastAsia="仿宋_GB2312" w:cs="仿宋_GB2312"/>
          <w:i w:val="0"/>
          <w:iCs w:val="0"/>
          <w:caps w:val="0"/>
          <w:color w:val="auto"/>
          <w:spacing w:val="0"/>
          <w:w w:val="100"/>
          <w:sz w:val="32"/>
          <w:szCs w:val="32"/>
          <w:shd w:val="clear" w:fill="FFFFFF"/>
          <w:lang w:val="en-US" w:eastAsia="zh-CN"/>
        </w:rPr>
        <w:t>19</w:t>
      </w:r>
      <w:r>
        <w:rPr>
          <w:rFonts w:hint="eastAsia" w:ascii="仿宋_GB2312" w:hAnsi="仿宋_GB2312" w:eastAsia="仿宋_GB2312" w:cs="仿宋_GB2312"/>
          <w:i w:val="0"/>
          <w:iCs w:val="0"/>
          <w:caps w:val="0"/>
          <w:color w:val="auto"/>
          <w:spacing w:val="0"/>
          <w:w w:val="100"/>
          <w:sz w:val="32"/>
          <w:szCs w:val="32"/>
          <w:shd w:val="clear" w:fill="FFFFFF"/>
        </w:rPr>
        <w:t>号</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i w:val="0"/>
          <w:iCs w:val="0"/>
          <w:caps w:val="0"/>
          <w:color w:val="auto"/>
          <w:spacing w:val="0"/>
          <w:w w:val="100"/>
          <w:sz w:val="32"/>
          <w:szCs w:val="32"/>
          <w:shd w:val="clear" w:fill="FFFFFF"/>
        </w:rPr>
      </w:pPr>
      <w:r>
        <w:rPr>
          <w:sz w:val="32"/>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53975</wp:posOffset>
                </wp:positionV>
                <wp:extent cx="5543550" cy="0"/>
                <wp:effectExtent l="0" t="13970" r="0" b="24130"/>
                <wp:wrapNone/>
                <wp:docPr id="1" name="直接连接符 1"/>
                <wp:cNvGraphicFramePr/>
                <a:graphic xmlns:a="http://schemas.openxmlformats.org/drawingml/2006/main">
                  <a:graphicData uri="http://schemas.microsoft.com/office/word/2010/wordprocessingShape">
                    <wps:wsp>
                      <wps:cNvCnPr/>
                      <wps:spPr>
                        <a:xfrm>
                          <a:off x="1055370" y="3968750"/>
                          <a:ext cx="55435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3pt;margin-top:4.25pt;height:0pt;width:436.5pt;z-index:251659264;mso-width-relative:page;mso-height-relative:page;" filled="f" stroked="t" coordsize="21600,21600" o:gfxdata="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LYJG7TAAAABwEAAA8AAAAAAAAAAQAgAAAA&#10;IgAAAGRycy9kb3ducmV2LnhtbFBLAQIUABQAAAAIAIdO4kAnh1GH1wEAAHADAAAOAAAAAAAAAAEA&#10;IAAAACIBAABkcnMvZTJvRG9jLnhtbFBLBQYAAAAABgAGAFkBAABrBQAAAAA=&#10;">
                <v:fill on="f" focussize="0,0"/>
                <v:stroke weight="3pt" color="#FF0000 [3204]" miterlimit="8" joinstyle="miter"/>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i w:val="0"/>
          <w:iCs w:val="0"/>
          <w:caps w:val="0"/>
          <w:color w:val="auto"/>
          <w:spacing w:val="0"/>
          <w:w w:val="100"/>
          <w:sz w:val="32"/>
          <w:szCs w:val="32"/>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60" w:lineRule="exact"/>
        <w:jc w:val="center"/>
        <w:textAlignment w:val="auto"/>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lang w:val="en-US" w:eastAsia="zh-CN"/>
        </w:rPr>
        <w:t>江西财经大学现代经济管理学院</w:t>
      </w:r>
      <w:r>
        <w:rPr>
          <w:rFonts w:hint="eastAsia" w:ascii="宋体" w:hAnsi="宋体" w:eastAsia="宋体" w:cs="宋体"/>
          <w:b/>
          <w:bCs/>
          <w:i w:val="0"/>
          <w:iCs w:val="0"/>
          <w:caps w:val="0"/>
          <w:color w:val="auto"/>
          <w:spacing w:val="0"/>
          <w:sz w:val="44"/>
          <w:szCs w:val="44"/>
          <w:shd w:val="clear" w:fill="FFFFFF"/>
        </w:rPr>
        <w:t>关于做好2022级成人高等教育新生入学的通知</w:t>
      </w:r>
    </w:p>
    <w:p>
      <w:pPr>
        <w:pStyle w:val="2"/>
        <w:keepNext w:val="0"/>
        <w:keepLines w:val="0"/>
        <w:pageBreakBefore w:val="0"/>
        <w:widowControl w:val="0"/>
        <w:kinsoku/>
        <w:wordWrap/>
        <w:overflowPunct/>
        <w:topLinePunct w:val="0"/>
        <w:autoSpaceDE/>
        <w:autoSpaceDN/>
        <w:bidi w:val="0"/>
        <w:adjustRightInd/>
        <w:snapToGrid/>
        <w:spacing w:after="0" w:line="660" w:lineRule="exact"/>
        <w:jc w:val="center"/>
        <w:textAlignment w:val="auto"/>
        <w:rPr>
          <w:rFonts w:hint="eastAsia" w:ascii="宋体" w:hAnsi="宋体" w:eastAsia="宋体" w:cs="宋体"/>
          <w:b/>
          <w:bCs/>
          <w:i w:val="0"/>
          <w:iCs w:val="0"/>
          <w:caps w:val="0"/>
          <w:color w:val="auto"/>
          <w:spacing w:val="0"/>
          <w:sz w:val="44"/>
          <w:szCs w:val="4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rPr>
        <w:t>各位新同学，在您被录取成为我</w:t>
      </w:r>
      <w:r>
        <w:rPr>
          <w:rFonts w:hint="eastAsia" w:ascii="仿宋_GB2312" w:hAnsi="仿宋_GB2312" w:eastAsia="仿宋_GB2312" w:cs="仿宋_GB2312"/>
          <w:i w:val="0"/>
          <w:iCs w:val="0"/>
          <w:caps w:val="0"/>
          <w:color w:val="333333"/>
          <w:spacing w:val="0"/>
          <w:sz w:val="32"/>
          <w:szCs w:val="32"/>
          <w:shd w:val="clear" w:fill="FFFFFF"/>
          <w:lang w:val="en-US" w:eastAsia="zh-Hans"/>
        </w:rPr>
        <w:t>院</w:t>
      </w:r>
      <w:r>
        <w:rPr>
          <w:rFonts w:hint="eastAsia" w:ascii="仿宋_GB2312" w:hAnsi="仿宋_GB2312" w:eastAsia="仿宋_GB2312" w:cs="仿宋_GB2312"/>
          <w:i w:val="0"/>
          <w:iCs w:val="0"/>
          <w:caps w:val="0"/>
          <w:color w:val="333333"/>
          <w:spacing w:val="0"/>
          <w:sz w:val="32"/>
          <w:szCs w:val="32"/>
          <w:shd w:val="clear" w:fill="FFFFFF"/>
        </w:rPr>
        <w:t>学生即将跨入大学校门之际，谨向您表示衷心祝贺和热烈欢迎！入学之前请您阅知以下内容,并按要求办理入学手续。现将我院2022级成人高等教育新生入学通知如下：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一、新生报到注册时间</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rPr>
        <w:t>1.报到时间段：2022年1月4日-1</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日。如因特殊情况不能按时</w:t>
      </w:r>
      <w:r>
        <w:rPr>
          <w:rFonts w:hint="eastAsia" w:ascii="仿宋_GB2312" w:hAnsi="仿宋_GB2312" w:eastAsia="仿宋_GB2312" w:cs="仿宋_GB2312"/>
          <w:i w:val="0"/>
          <w:iCs w:val="0"/>
          <w:caps w:val="0"/>
          <w:color w:val="333333"/>
          <w:spacing w:val="0"/>
          <w:sz w:val="32"/>
          <w:szCs w:val="32"/>
          <w:shd w:val="clear" w:fill="FFFFFF"/>
          <w:lang w:val="en-US" w:eastAsia="zh-CN"/>
        </w:rPr>
        <w:t>来校</w:t>
      </w:r>
      <w:r>
        <w:rPr>
          <w:rFonts w:hint="eastAsia" w:ascii="仿宋_GB2312" w:hAnsi="仿宋_GB2312" w:eastAsia="仿宋_GB2312" w:cs="仿宋_GB2312"/>
          <w:i w:val="0"/>
          <w:iCs w:val="0"/>
          <w:caps w:val="0"/>
          <w:color w:val="333333"/>
          <w:spacing w:val="0"/>
          <w:sz w:val="32"/>
          <w:szCs w:val="32"/>
          <w:shd w:val="clear" w:fill="FFFFFF"/>
        </w:rPr>
        <w:t>报到的，务必于1月1</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日前与</w:t>
      </w:r>
      <w:r>
        <w:rPr>
          <w:rFonts w:hint="eastAsia" w:ascii="仿宋_GB2312" w:hAnsi="仿宋_GB2312" w:eastAsia="仿宋_GB2312" w:cs="仿宋_GB2312"/>
          <w:i w:val="0"/>
          <w:iCs w:val="0"/>
          <w:caps w:val="0"/>
          <w:color w:val="333333"/>
          <w:spacing w:val="0"/>
          <w:sz w:val="32"/>
          <w:szCs w:val="32"/>
          <w:shd w:val="clear" w:fill="FFFFFF"/>
          <w:lang w:val="en-US" w:eastAsia="zh-CN"/>
        </w:rPr>
        <w:t>继续教育中心</w:t>
      </w:r>
      <w:r>
        <w:rPr>
          <w:rFonts w:hint="eastAsia" w:ascii="仿宋_GB2312" w:hAnsi="仿宋_GB2312" w:eastAsia="仿宋_GB2312" w:cs="仿宋_GB2312"/>
          <w:i w:val="0"/>
          <w:iCs w:val="0"/>
          <w:caps w:val="0"/>
          <w:color w:val="333333"/>
          <w:spacing w:val="0"/>
          <w:sz w:val="32"/>
          <w:szCs w:val="32"/>
          <w:shd w:val="clear" w:fill="FFFFFF"/>
        </w:rPr>
        <w:t>联系并进行报备。逾期不报到的同学，均按放弃入学资格处理。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2.新生报到缴费后，开课日期另行通知。</w:t>
      </w:r>
    </w:p>
    <w:p>
      <w:pPr>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br w:type="page"/>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二、收费标准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rPr>
        <w:t>高达本、专升本：普通类1700元/学年。</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三、报到须携带的材料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rPr>
        <w:t>1.填写《</w:t>
      </w:r>
      <w:r>
        <w:rPr>
          <w:rFonts w:hint="eastAsia" w:ascii="仿宋_GB2312" w:hAnsi="仿宋_GB2312" w:eastAsia="仿宋_GB2312" w:cs="仿宋_GB2312"/>
          <w:i w:val="0"/>
          <w:iCs w:val="0"/>
          <w:caps w:val="0"/>
          <w:color w:val="333333"/>
          <w:spacing w:val="0"/>
          <w:sz w:val="32"/>
          <w:szCs w:val="32"/>
          <w:shd w:val="clear" w:fill="FFFFFF"/>
          <w:lang w:val="en-US" w:eastAsia="zh-CN"/>
        </w:rPr>
        <w:t>江西财经大学现代经济管理学院</w:t>
      </w:r>
      <w:r>
        <w:rPr>
          <w:rFonts w:hint="eastAsia" w:ascii="仿宋_GB2312" w:hAnsi="仿宋_GB2312" w:eastAsia="仿宋_GB2312" w:cs="仿宋_GB2312"/>
          <w:i w:val="0"/>
          <w:iCs w:val="0"/>
          <w:caps w:val="0"/>
          <w:color w:val="333333"/>
          <w:spacing w:val="0"/>
          <w:sz w:val="32"/>
          <w:szCs w:val="32"/>
          <w:shd w:val="clear" w:fill="FFFFFF"/>
        </w:rPr>
        <w:t>成人高等教育新生入学登记表》(一式两份)（见附件）。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rPr>
        <w:t>2.提交近期一寸半身免冠照片两张(照片背面请写明姓名及专业)。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rPr>
        <w:t>3.身份证原件、身份证复印件（一式两份，并在复印件上写明本人的手机号码)。</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rPr>
        <w:t>4.专科起点升本科学生还需携带国民教育系列的大专(或大专以上)毕业证书原件、复印件及教育部学历证书电子注册备案表（验证有效期至2022年5月30日）或中国高等教育学历认证报告。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四、报到地址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lang w:val="en-US" w:eastAsia="zh-CN"/>
        </w:rPr>
        <w:t>江西省共青城市青年大道59号江西财经大学现代经济管理学院</w:t>
      </w:r>
      <w:r>
        <w:rPr>
          <w:rFonts w:hint="eastAsia" w:ascii="仿宋_GB2312" w:hAnsi="仿宋_GB2312" w:eastAsia="仿宋_GB2312" w:cs="仿宋_GB2312"/>
          <w:i w:val="0"/>
          <w:iCs w:val="0"/>
          <w:caps w:val="0"/>
          <w:color w:val="333333"/>
          <w:spacing w:val="0"/>
          <w:sz w:val="32"/>
          <w:szCs w:val="32"/>
          <w:shd w:val="clear" w:fill="FFFFFF"/>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五、注意事项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rPr>
        <w:t>1.根据国家教育部和省教育厅有关文件精神，</w:t>
      </w:r>
      <w:r>
        <w:rPr>
          <w:rFonts w:hint="eastAsia" w:ascii="仿宋_GB2312" w:hAnsi="仿宋_GB2312" w:eastAsia="仿宋_GB2312" w:cs="仿宋_GB2312"/>
          <w:i w:val="0"/>
          <w:iCs w:val="0"/>
          <w:caps w:val="0"/>
          <w:color w:val="333333"/>
          <w:spacing w:val="0"/>
          <w:sz w:val="32"/>
          <w:szCs w:val="32"/>
          <w:shd w:val="clear" w:fill="FFFFFF"/>
          <w:lang w:val="en-US" w:eastAsia="zh-CN"/>
        </w:rPr>
        <w:t>继续教育中心</w:t>
      </w:r>
      <w:r>
        <w:rPr>
          <w:rFonts w:hint="eastAsia" w:ascii="仿宋_GB2312" w:hAnsi="仿宋_GB2312" w:eastAsia="仿宋_GB2312" w:cs="仿宋_GB2312"/>
          <w:i w:val="0"/>
          <w:iCs w:val="0"/>
          <w:caps w:val="0"/>
          <w:color w:val="333333"/>
          <w:spacing w:val="0"/>
          <w:sz w:val="32"/>
          <w:szCs w:val="32"/>
          <w:shd w:val="clear" w:fill="FFFFFF"/>
        </w:rPr>
        <w:t>根据我</w:t>
      </w:r>
      <w:r>
        <w:rPr>
          <w:rFonts w:hint="eastAsia" w:ascii="仿宋_GB2312" w:hAnsi="仿宋_GB2312" w:eastAsia="仿宋_GB2312" w:cs="仿宋_GB2312"/>
          <w:i w:val="0"/>
          <w:iCs w:val="0"/>
          <w:caps w:val="0"/>
          <w:color w:val="333333"/>
          <w:spacing w:val="0"/>
          <w:sz w:val="32"/>
          <w:szCs w:val="32"/>
          <w:shd w:val="clear" w:fill="FFFFFF"/>
          <w:lang w:val="en-US" w:eastAsia="zh-CN"/>
        </w:rPr>
        <w:t>院</w:t>
      </w:r>
      <w:r>
        <w:rPr>
          <w:rFonts w:hint="eastAsia" w:ascii="仿宋_GB2312" w:hAnsi="仿宋_GB2312" w:eastAsia="仿宋_GB2312" w:cs="仿宋_GB2312"/>
          <w:i w:val="0"/>
          <w:iCs w:val="0"/>
          <w:caps w:val="0"/>
          <w:color w:val="333333"/>
          <w:spacing w:val="0"/>
          <w:sz w:val="32"/>
          <w:szCs w:val="32"/>
          <w:shd w:val="clear" w:fill="FFFFFF"/>
        </w:rPr>
        <w:t>公布的招生录取数据对报到新生入学资格进行全面复查。专升本学生报到时，须提交学信网（http：//www.chsi.com.cn）打印的专科学历查询结果。如专科学历网上无法查询的，须本人携带专科毕业证书原件及身份证原件到省学历认证中心做学历认证，若无专科学历或专科学历不属于国民教育系列的一律不予注册学籍。</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rPr>
        <w:t>2.对学籍资格有异议的学生，要及时与</w:t>
      </w:r>
      <w:r>
        <w:rPr>
          <w:rFonts w:hint="eastAsia" w:ascii="仿宋_GB2312" w:hAnsi="仿宋_GB2312" w:eastAsia="仿宋_GB2312" w:cs="仿宋_GB2312"/>
          <w:i w:val="0"/>
          <w:iCs w:val="0"/>
          <w:caps w:val="0"/>
          <w:color w:val="333333"/>
          <w:spacing w:val="0"/>
          <w:sz w:val="32"/>
          <w:szCs w:val="32"/>
          <w:shd w:val="clear" w:fill="FFFFFF"/>
          <w:lang w:val="en-US" w:eastAsia="zh-CN"/>
        </w:rPr>
        <w:t>继续教育中心</w:t>
      </w:r>
      <w:r>
        <w:rPr>
          <w:rFonts w:hint="eastAsia" w:ascii="仿宋_GB2312" w:hAnsi="仿宋_GB2312" w:eastAsia="仿宋_GB2312" w:cs="仿宋_GB2312"/>
          <w:i w:val="0"/>
          <w:iCs w:val="0"/>
          <w:caps w:val="0"/>
          <w:color w:val="333333"/>
          <w:spacing w:val="0"/>
          <w:sz w:val="32"/>
          <w:szCs w:val="32"/>
          <w:shd w:val="clear" w:fill="FFFFFF"/>
        </w:rPr>
        <w:t>沟通处理，确认无误后方可承认其学籍。</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rPr>
        <w:t>3.学生在读期间必须通过我校的网络教学平台完成课程的学习，并获得该课程合格及以上的成绩。本科段学生还必须在毕业前完成毕业论文的撰写，并要求毕业论文的查重率符合江西省教育厅有关文件的规定。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rPr>
      </w:pPr>
      <w:r>
        <w:rPr>
          <w:rFonts w:hint="eastAsia" w:ascii="仿宋_GB2312" w:hAnsi="仿宋_GB2312" w:eastAsia="仿宋_GB2312" w:cs="仿宋_GB2312"/>
          <w:i w:val="0"/>
          <w:iCs w:val="0"/>
          <w:caps w:val="0"/>
          <w:color w:val="333333"/>
          <w:spacing w:val="0"/>
          <w:sz w:val="32"/>
          <w:szCs w:val="32"/>
          <w:shd w:val="clear" w:fill="FFFFFF"/>
        </w:rPr>
        <w:t>4.联系方式</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继续教育中心</w:t>
      </w:r>
      <w:r>
        <w:rPr>
          <w:rFonts w:hint="eastAsia" w:ascii="仿宋_GB2312" w:hAnsi="仿宋_GB2312" w:eastAsia="仿宋_GB2312" w:cs="仿宋_GB2312"/>
          <w:i w:val="0"/>
          <w:iCs w:val="0"/>
          <w:caps w:val="0"/>
          <w:color w:val="333333"/>
          <w:spacing w:val="0"/>
          <w:sz w:val="32"/>
          <w:szCs w:val="32"/>
          <w:shd w:val="clear" w:fill="FFFFFF"/>
        </w:rPr>
        <w:t>电话：</w:t>
      </w:r>
      <w:r>
        <w:rPr>
          <w:rFonts w:hint="eastAsia" w:ascii="仿宋_GB2312" w:hAnsi="仿宋_GB2312" w:eastAsia="仿宋_GB2312" w:cs="仿宋_GB2312"/>
          <w:i w:val="0"/>
          <w:iCs w:val="0"/>
          <w:caps w:val="0"/>
          <w:color w:val="333333"/>
          <w:spacing w:val="0"/>
          <w:sz w:val="32"/>
          <w:szCs w:val="32"/>
          <w:shd w:val="clear" w:fill="FFFFFF"/>
          <w:lang w:val="en-US" w:eastAsia="zh-CN"/>
        </w:rPr>
        <w:t>0792-</w:t>
      </w:r>
      <w:r>
        <w:rPr>
          <w:rFonts w:hint="eastAsia" w:ascii="仿宋_GB2312" w:hAnsi="仿宋_GB2312" w:eastAsia="仿宋_GB2312" w:cs="仿宋_GB2312"/>
          <w:i w:val="0"/>
          <w:iCs w:val="0"/>
          <w:caps w:val="0"/>
          <w:color w:val="333333"/>
          <w:spacing w:val="0"/>
          <w:sz w:val="32"/>
          <w:szCs w:val="32"/>
          <w:shd w:val="clear" w:fill="FFFFFF"/>
        </w:rPr>
        <w:t>4391139</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（联系人：继续教育中心 李志文，15770645559）</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18"/>
          <w:szCs w:val="18"/>
          <w:lang w:val="en-US" w:eastAsia="zh-CN"/>
        </w:rPr>
      </w:pPr>
      <w:r>
        <w:rPr>
          <w:rFonts w:hint="eastAsia" w:ascii="仿宋_GB2312" w:hAnsi="仿宋_GB2312" w:eastAsia="仿宋_GB2312" w:cs="仿宋_GB2312"/>
          <w:i w:val="0"/>
          <w:iCs w:val="0"/>
          <w:caps w:val="0"/>
          <w:color w:val="333333"/>
          <w:spacing w:val="0"/>
          <w:sz w:val="32"/>
          <w:szCs w:val="32"/>
          <w:shd w:val="clear" w:fill="FFFFFF"/>
        </w:rPr>
        <w:t>官方微信公众号：</w:t>
      </w:r>
      <w:r>
        <w:rPr>
          <w:rFonts w:hint="eastAsia" w:ascii="仿宋_GB2312" w:hAnsi="仿宋_GB2312" w:eastAsia="仿宋_GB2312" w:cs="仿宋_GB2312"/>
          <w:i w:val="0"/>
          <w:iCs w:val="0"/>
          <w:caps w:val="0"/>
          <w:color w:val="333333"/>
          <w:spacing w:val="0"/>
          <w:sz w:val="32"/>
          <w:szCs w:val="32"/>
          <w:shd w:val="clear" w:fill="FFFFFF"/>
          <w:lang w:val="en-US" w:eastAsia="zh-CN"/>
        </w:rPr>
        <w:t>江财现经管</w:t>
      </w:r>
      <w:r>
        <w:rPr>
          <w:rFonts w:hint="eastAsia" w:ascii="仿宋_GB2312" w:hAnsi="仿宋_GB2312" w:eastAsia="仿宋_GB2312" w:cs="仿宋_GB2312"/>
          <w:i w:val="0"/>
          <w:iCs w:val="0"/>
          <w:caps w:val="0"/>
          <w:color w:val="333333"/>
          <w:spacing w:val="0"/>
          <w:sz w:val="32"/>
          <w:szCs w:val="32"/>
          <w:shd w:val="clear" w:fill="FFFFFF"/>
        </w:rPr>
        <w:t>继续教育</w:t>
      </w:r>
      <w:r>
        <w:rPr>
          <w:rFonts w:hint="eastAsia" w:ascii="仿宋_GB2312" w:hAnsi="仿宋_GB2312" w:eastAsia="仿宋_GB2312" w:cs="仿宋_GB2312"/>
          <w:i w:val="0"/>
          <w:iCs w:val="0"/>
          <w:caps w:val="0"/>
          <w:color w:val="333333"/>
          <w:spacing w:val="0"/>
          <w:sz w:val="32"/>
          <w:szCs w:val="32"/>
          <w:shd w:val="clear" w:fill="FFFFFF"/>
          <w:lang w:val="en-US" w:eastAsia="zh-CN"/>
        </w:rPr>
        <w:t>中心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特此通知！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附件：</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江西财经大学现代经济管理学院</w:t>
      </w:r>
      <w:r>
        <w:rPr>
          <w:rFonts w:hint="eastAsia" w:ascii="仿宋_GB2312" w:hAnsi="仿宋_GB2312" w:eastAsia="仿宋_GB2312" w:cs="仿宋_GB2312"/>
          <w:i w:val="0"/>
          <w:iCs w:val="0"/>
          <w:caps w:val="0"/>
          <w:color w:val="333333"/>
          <w:spacing w:val="0"/>
          <w:sz w:val="32"/>
          <w:szCs w:val="32"/>
          <w:shd w:val="clear" w:fill="FFFFFF"/>
        </w:rPr>
        <w:t>成人高等教育新生入学登记表》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bookmarkStart w:id="0" w:name="_GoBack"/>
      <w:bookmarkEnd w:id="0"/>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江西财经大学现代经济管理学院继续教育中心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center"/>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2021年12月31日</w:t>
      </w:r>
    </w:p>
    <w:p>
      <w:pPr>
        <w:pStyle w:val="2"/>
        <w:keepNext w:val="0"/>
        <w:keepLines w:val="0"/>
        <w:pageBreakBefore w:val="0"/>
        <w:widowControl w:val="0"/>
        <w:kinsoku/>
        <w:wordWrap/>
        <w:overflowPunct/>
        <w:topLinePunct w:val="0"/>
        <w:autoSpaceDE/>
        <w:autoSpaceDN/>
        <w:bidi w:val="0"/>
        <w:adjustRightInd/>
        <w:snapToGrid/>
        <w:spacing w:after="0" w:line="660" w:lineRule="exact"/>
        <w:jc w:val="center"/>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60" w:lineRule="exact"/>
        <w:jc w:val="center"/>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60" w:lineRule="exact"/>
        <w:jc w:val="both"/>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60" w:lineRule="exact"/>
        <w:jc w:val="both"/>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60" w:lineRule="exact"/>
        <w:jc w:val="both"/>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60" w:lineRule="exact"/>
        <w:jc w:val="both"/>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417195</wp:posOffset>
                </wp:positionV>
                <wp:extent cx="5678805" cy="0"/>
                <wp:effectExtent l="0" t="0" r="0" b="0"/>
                <wp:wrapNone/>
                <wp:docPr id="2" name="直接连接符 2"/>
                <wp:cNvGraphicFramePr/>
                <a:graphic xmlns:a="http://schemas.openxmlformats.org/drawingml/2006/main">
                  <a:graphicData uri="http://schemas.microsoft.com/office/word/2010/wordprocessingShape">
                    <wps:wsp>
                      <wps:cNvCnPr/>
                      <wps:spPr>
                        <a:xfrm>
                          <a:off x="1012825" y="9192895"/>
                          <a:ext cx="5678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75pt;margin-top:32.85pt;height:0pt;width:447.15pt;z-index:251660288;mso-width-relative:page;mso-height-relative:page;" filled="f" stroked="t" coordsize="21600,21600" o:gfxdata="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7Y8ItcAAAAJAQAADwAAAAAAAAABACAA&#10;AAAiAAAAZHJzL2Rvd25yZXYueG1sUEsBAhQAFAAAAAgAh07iQIj7Z7nVAQAAbwMAAA4AAAAAAAAA&#10;AQAgAAAAJgEAAGRycy9lMm9Eb2MueG1sUEsFBgAAAAAGAAYAWQEAAG0FAAAAAA==&#10;">
                <v:fill on="f" focussize="0,0"/>
                <v:stroke weight="0.5pt" color="#000000 [3213]" miterlimit="8" joinstyle="miter"/>
                <v:imagedata o:title=""/>
                <o:lock v:ext="edit" aspectratio="f"/>
              </v:line>
            </w:pict>
          </mc:Fallback>
        </mc:AlternateConten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jc w:val="both"/>
        <w:textAlignment w:val="auto"/>
        <w:rPr>
          <w:rFonts w:hint="default" w:ascii="仿宋_GB2312" w:hAnsi="仿宋_GB2312" w:eastAsia="仿宋_GB2312" w:cs="仿宋_GB2312"/>
          <w:b w:val="0"/>
          <w:bCs w:val="0"/>
          <w:i w:val="0"/>
          <w:iCs w:val="0"/>
          <w:caps w:val="0"/>
          <w:color w:val="auto"/>
          <w:spacing w:val="-28"/>
          <w:sz w:val="32"/>
          <w:szCs w:val="32"/>
          <w:shd w:val="clear" w:fill="FFFFFF"/>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395605</wp:posOffset>
                </wp:positionV>
                <wp:extent cx="567880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78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pt;margin-top:31.15pt;height:0pt;width:447.15pt;z-index:251661312;mso-width-relative:page;mso-height-relative:page;" filled="f" stroked="t" coordsize="21600,21600" o:gfxdata="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1GSfC1wAAAAkBAAAPAAAAAAAAAAEAIAAAACIAAABkcnMvZG93&#10;bnJldi54bWxQSwECFAAUAAAACACHTuJASN1LOcgBAABjAwAADgAAAAAAAAABACAAAAAmAQAAZHJz&#10;L2Uyb0RvYy54bWxQSwUGAAAAAAYABgBZAQAAYAU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i w:val="0"/>
          <w:iCs w:val="0"/>
          <w:caps w:val="0"/>
          <w:color w:val="333333"/>
          <w:spacing w:val="-28"/>
          <w:sz w:val="32"/>
          <w:szCs w:val="32"/>
          <w:shd w:val="clear" w:fill="FFFFFF"/>
          <w:lang w:val="en-US" w:eastAsia="zh-CN"/>
        </w:rPr>
        <w:t>江西财经大学现代经济管理学院继续教育中心    2021年12月31日印发</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52BAF"/>
    <w:rsid w:val="07791ACA"/>
    <w:rsid w:val="0A7F09E8"/>
    <w:rsid w:val="2A32190A"/>
    <w:rsid w:val="332C7C23"/>
    <w:rsid w:val="3CEF7A3C"/>
    <w:rsid w:val="50852BAF"/>
    <w:rsid w:val="5D1E014B"/>
    <w:rsid w:val="625271E8"/>
    <w:rsid w:val="714B506B"/>
    <w:rsid w:val="72A6517C"/>
    <w:rsid w:val="7F9B0AD3"/>
    <w:rsid w:val="DDBFD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0"/>
      <w:sz w:val="32"/>
      <w:szCs w:val="1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939</Words>
  <Characters>1013</Characters>
  <Lines>0</Lines>
  <Paragraphs>0</Paragraphs>
  <TotalTime>12</TotalTime>
  <ScaleCrop>false</ScaleCrop>
  <LinksUpToDate>false</LinksUpToDate>
  <CharactersWithSpaces>1027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2021-12-31T01:44:00Z</dcterms:created>
  <dc:creator>lzw</dc:creator>
  <cp:lastModifiedBy>Eran.</cp:lastModifiedBy>
  <cp:lastPrinted>2021-12-31T16:50:00Z</cp:lastPrinted>
  <dcterms:modified xsi:type="dcterms:W3CDTF">2021-12-31T16:19:13Z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1BD8563EB7E4459B836299CA28F87A3D</vt:lpwstr>
  </property>
</Properties>
</file>